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987"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gridCol w:w="1968"/>
      </w:tblGrid>
      <w:tr w:rsidR="007C4ACE" w:rsidTr="007C4ACE">
        <w:trPr>
          <w:trHeight w:val="530"/>
        </w:trPr>
        <w:tc>
          <w:tcPr>
            <w:tcW w:w="9019" w:type="dxa"/>
            <w:shd w:val="clear" w:color="auto" w:fill="auto"/>
            <w:vAlign w:val="center"/>
          </w:tcPr>
          <w:p w:rsidR="007C4ACE" w:rsidRPr="00632D68" w:rsidRDefault="007C4ACE" w:rsidP="00165690">
            <w:pPr>
              <w:pStyle w:val="NoSpacing"/>
              <w:rPr>
                <w:b/>
                <w:bCs w:val="0"/>
                <w:sz w:val="40"/>
                <w:szCs w:val="40"/>
              </w:rPr>
            </w:pPr>
            <w:r>
              <w:rPr>
                <w:b/>
                <w:bCs w:val="0"/>
                <w:sz w:val="40"/>
                <w:szCs w:val="40"/>
              </w:rPr>
              <w:t>How to run a normalization rule on a set of holding records</w:t>
            </w:r>
          </w:p>
        </w:tc>
        <w:tc>
          <w:tcPr>
            <w:tcW w:w="1968" w:type="dxa"/>
          </w:tcPr>
          <w:p w:rsidR="007C4ACE" w:rsidRDefault="007C4ACE" w:rsidP="00165690">
            <w:pPr>
              <w:pStyle w:val="Header"/>
            </w:pPr>
            <w:r>
              <w:rPr>
                <w:noProof/>
                <w:lang w:bidi="he-IL"/>
              </w:rPr>
              <w:drawing>
                <wp:inline distT="0" distB="0" distL="0" distR="0" wp14:anchorId="3116C80F" wp14:editId="5205B05B">
                  <wp:extent cx="1043832" cy="561975"/>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ma_logo.jpg"/>
                          <pic:cNvPicPr/>
                        </pic:nvPicPr>
                        <pic:blipFill rotWithShape="1">
                          <a:blip r:embed="rId5" cstate="print">
                            <a:extLst>
                              <a:ext uri="{28A0092B-C50C-407E-A947-70E740481C1C}">
                                <a14:useLocalDpi xmlns:a14="http://schemas.microsoft.com/office/drawing/2010/main" val="0"/>
                              </a:ext>
                            </a:extLst>
                          </a:blip>
                          <a:srcRect t="6200" b="12416"/>
                          <a:stretch/>
                        </pic:blipFill>
                        <pic:spPr bwMode="auto">
                          <a:xfrm>
                            <a:off x="0" y="0"/>
                            <a:ext cx="1068775" cy="575404"/>
                          </a:xfrm>
                          <a:prstGeom prst="rect">
                            <a:avLst/>
                          </a:prstGeom>
                          <a:ln>
                            <a:noFill/>
                          </a:ln>
                          <a:extLst>
                            <a:ext uri="{53640926-AAD7-44D8-BBD7-CCE9431645EC}">
                              <a14:shadowObscured xmlns:a14="http://schemas.microsoft.com/office/drawing/2010/main"/>
                            </a:ext>
                          </a:extLst>
                        </pic:spPr>
                      </pic:pic>
                    </a:graphicData>
                  </a:graphic>
                </wp:inline>
              </w:drawing>
            </w:r>
          </w:p>
        </w:tc>
      </w:tr>
    </w:tbl>
    <w:p w:rsidR="00B00EA9" w:rsidRDefault="007C4ACE" w:rsidP="003F2E07">
      <w:pPr>
        <w:pStyle w:val="NoSpacing"/>
      </w:pPr>
      <w:r>
        <w:rPr>
          <w:noProof/>
        </w:rPr>
        <w:drawing>
          <wp:inline distT="0" distB="0" distL="0" distR="0" wp14:anchorId="487481A2" wp14:editId="389E10F3">
            <wp:extent cx="5486400" cy="105219"/>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05219"/>
                    </a:xfrm>
                    <a:prstGeom prst="rect">
                      <a:avLst/>
                    </a:prstGeom>
                    <a:noFill/>
                    <a:ln>
                      <a:noFill/>
                    </a:ln>
                  </pic:spPr>
                </pic:pic>
              </a:graphicData>
            </a:graphic>
          </wp:inline>
        </w:drawing>
      </w:r>
    </w:p>
    <w:p w:rsidR="00B00EA9" w:rsidRDefault="00B00EA9" w:rsidP="003F2E07">
      <w:pPr>
        <w:pStyle w:val="NoSpacing"/>
      </w:pPr>
    </w:p>
    <w:p w:rsidR="00CB2F13" w:rsidRDefault="003F2E07" w:rsidP="003F2E07">
      <w:pPr>
        <w:pStyle w:val="NoSpacing"/>
      </w:pPr>
      <w:r>
        <w:t>Below we show how to take a normalization rule created in the metadata editor and add it to a process and then run the process on a set of holding records</w:t>
      </w:r>
    </w:p>
    <w:p w:rsidR="004D703A" w:rsidRDefault="004D703A" w:rsidP="004D703A">
      <w:pPr>
        <w:pStyle w:val="NoSpacing"/>
      </w:pPr>
    </w:p>
    <w:p w:rsidR="004D703A" w:rsidRPr="00AF04BA" w:rsidRDefault="004D703A" w:rsidP="004D703A">
      <w:pPr>
        <w:pStyle w:val="NoSpacing"/>
        <w:rPr>
          <w:b/>
          <w:bCs/>
        </w:rPr>
      </w:pPr>
      <w:r w:rsidRPr="00AF04BA">
        <w:rPr>
          <w:b/>
          <w:bCs/>
        </w:rPr>
        <w:t>ONE</w:t>
      </w:r>
    </w:p>
    <w:p w:rsidR="004D703A" w:rsidRDefault="004D703A" w:rsidP="003F2E07">
      <w:pPr>
        <w:pStyle w:val="NoSpacing"/>
      </w:pPr>
      <w:r>
        <w:t>In metadata editor create a normalization r</w:t>
      </w:r>
      <w:r w:rsidR="003F2E07">
        <w:t>outine.  No need here to specify</w:t>
      </w:r>
      <w:r>
        <w:t xml:space="preserve"> if it is for a bibliographic or holding record. For example here is one which adds an 866 field with specific text.  </w:t>
      </w:r>
      <w:r w:rsidR="00AF04BA">
        <w:t>The normalization routine below is called “</w:t>
      </w:r>
      <w:r w:rsidR="0065787A">
        <w:t>YK - add field 866 subfield a Vol. 1-10</w:t>
      </w:r>
      <w:r w:rsidR="00AF04BA">
        <w:t xml:space="preserve">”.  </w:t>
      </w:r>
      <w:r>
        <w:t>It is written like any other normalization routine:</w:t>
      </w:r>
      <w:r>
        <w:br/>
      </w:r>
      <w:r>
        <w:br/>
      </w:r>
      <w:r w:rsidR="00541F95">
        <w:rPr>
          <w:noProof/>
        </w:rPr>
        <w:drawing>
          <wp:inline distT="0" distB="0" distL="0" distR="0">
            <wp:extent cx="4846320" cy="2103120"/>
            <wp:effectExtent l="19050" t="19050" r="11430" b="1143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6320" cy="2103120"/>
                    </a:xfrm>
                    <a:prstGeom prst="rect">
                      <a:avLst/>
                    </a:prstGeom>
                    <a:noFill/>
                    <a:ln>
                      <a:solidFill>
                        <a:schemeClr val="accent1"/>
                      </a:solidFill>
                    </a:ln>
                  </pic:spPr>
                </pic:pic>
              </a:graphicData>
            </a:graphic>
          </wp:inline>
        </w:drawing>
      </w:r>
      <w:r>
        <w:br/>
      </w:r>
    </w:p>
    <w:p w:rsidR="004D703A" w:rsidRDefault="004D703A" w:rsidP="004D703A">
      <w:pPr>
        <w:pStyle w:val="NoSpacing"/>
      </w:pPr>
    </w:p>
    <w:p w:rsidR="004D703A" w:rsidRPr="00AF04BA" w:rsidRDefault="004D703A" w:rsidP="004D703A">
      <w:pPr>
        <w:pStyle w:val="NoSpacing"/>
        <w:rPr>
          <w:b/>
          <w:bCs/>
        </w:rPr>
      </w:pPr>
      <w:r w:rsidRPr="00AF04BA">
        <w:rPr>
          <w:b/>
          <w:bCs/>
        </w:rPr>
        <w:t>TWO</w:t>
      </w:r>
    </w:p>
    <w:p w:rsidR="004D703A" w:rsidRDefault="004D703A" w:rsidP="004D703A">
      <w:pPr>
        <w:pStyle w:val="NoSpacing"/>
      </w:pPr>
      <w:r>
        <w:t>You can then open a holding record in the left pane, and in the right pane edit the normalization routine and run it with “Preview”</w:t>
      </w:r>
      <w:r w:rsidR="003F2E07">
        <w:t xml:space="preserve"> and see that it works.</w:t>
      </w:r>
    </w:p>
    <w:p w:rsidR="004D703A" w:rsidRDefault="004D703A" w:rsidP="004D703A">
      <w:pPr>
        <w:pStyle w:val="NoSpacing"/>
      </w:pPr>
    </w:p>
    <w:p w:rsidR="004D703A" w:rsidRDefault="00541F95" w:rsidP="004D703A">
      <w:pPr>
        <w:pStyle w:val="NoSpacing"/>
      </w:pPr>
      <w:r>
        <w:rPr>
          <w:noProof/>
        </w:rPr>
        <w:drawing>
          <wp:inline distT="0" distB="0" distL="0" distR="0">
            <wp:extent cx="5486400" cy="1524000"/>
            <wp:effectExtent l="19050" t="19050" r="19050" b="190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524000"/>
                    </a:xfrm>
                    <a:prstGeom prst="rect">
                      <a:avLst/>
                    </a:prstGeom>
                    <a:noFill/>
                    <a:ln>
                      <a:solidFill>
                        <a:schemeClr val="accent1"/>
                      </a:solidFill>
                    </a:ln>
                  </pic:spPr>
                </pic:pic>
              </a:graphicData>
            </a:graphic>
          </wp:inline>
        </w:drawing>
      </w:r>
    </w:p>
    <w:p w:rsidR="004D703A" w:rsidRDefault="004D703A" w:rsidP="004D703A">
      <w:pPr>
        <w:pStyle w:val="NoSpacing"/>
      </w:pPr>
    </w:p>
    <w:p w:rsidR="00AF04BA" w:rsidRDefault="00541F95" w:rsidP="004D703A">
      <w:pPr>
        <w:pStyle w:val="NoSpacing"/>
      </w:pPr>
      <w:r>
        <w:rPr>
          <w:noProof/>
        </w:rPr>
        <w:lastRenderedPageBreak/>
        <w:drawing>
          <wp:inline distT="0" distB="0" distL="0" distR="0">
            <wp:extent cx="5486400" cy="1343025"/>
            <wp:effectExtent l="19050" t="19050" r="19050" b="285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1343025"/>
                    </a:xfrm>
                    <a:prstGeom prst="rect">
                      <a:avLst/>
                    </a:prstGeom>
                    <a:noFill/>
                    <a:ln>
                      <a:solidFill>
                        <a:schemeClr val="accent1"/>
                      </a:solidFill>
                    </a:ln>
                  </pic:spPr>
                </pic:pic>
              </a:graphicData>
            </a:graphic>
          </wp:inline>
        </w:drawing>
      </w:r>
    </w:p>
    <w:p w:rsidR="00AF04BA" w:rsidRDefault="00AF04BA" w:rsidP="004D703A">
      <w:pPr>
        <w:pStyle w:val="NoSpacing"/>
      </w:pPr>
    </w:p>
    <w:p w:rsidR="004D703A" w:rsidRPr="00AF04BA" w:rsidRDefault="004D703A" w:rsidP="004D703A">
      <w:pPr>
        <w:pStyle w:val="NoSpacing"/>
        <w:rPr>
          <w:b/>
          <w:bCs/>
        </w:rPr>
      </w:pPr>
      <w:r w:rsidRPr="00AF04BA">
        <w:rPr>
          <w:b/>
          <w:bCs/>
        </w:rPr>
        <w:t>THREE</w:t>
      </w:r>
    </w:p>
    <w:p w:rsidR="00AF04BA" w:rsidRDefault="00AF04BA" w:rsidP="003F2E07">
      <w:pPr>
        <w:pStyle w:val="NoSpacing"/>
      </w:pPr>
      <w:r>
        <w:t xml:space="preserve">Now we need to add the normalization </w:t>
      </w:r>
      <w:r w:rsidR="003F2E07">
        <w:t>rule</w:t>
      </w:r>
      <w:r>
        <w:t xml:space="preserve"> above which is called “</w:t>
      </w:r>
      <w:r w:rsidR="0065787A">
        <w:t>YK - add field 866 subfield a Vol. 1-10</w:t>
      </w:r>
      <w:r>
        <w:t xml:space="preserve">” to a holding record process. This is done </w:t>
      </w:r>
      <w:r w:rsidR="003F2E07">
        <w:t>via “</w:t>
      </w:r>
      <w:r>
        <w:t xml:space="preserve">resource management configuration menu &gt; Cataloging &gt; Metadata Configuration &gt; </w:t>
      </w:r>
      <w:r w:rsidRPr="00AF04BA">
        <w:t>MARC21 Holding</w:t>
      </w:r>
      <w:r>
        <w:t xml:space="preserve"> &gt; Normalization tab &gt; add process”</w:t>
      </w:r>
    </w:p>
    <w:p w:rsidR="00AF04BA" w:rsidRDefault="00AF04BA" w:rsidP="00AF04BA">
      <w:pPr>
        <w:pStyle w:val="NoSpacing"/>
        <w:numPr>
          <w:ilvl w:val="0"/>
          <w:numId w:val="1"/>
        </w:numPr>
      </w:pPr>
      <w:r>
        <w:t>In the “general information” tab call it whatever you want.  Below we call it  “</w:t>
      </w:r>
      <w:r w:rsidR="0065787A" w:rsidRPr="0065787A">
        <w:t>YK - add field 866 subfield a Vol. 1-10</w:t>
      </w:r>
      <w:r>
        <w:t>”</w:t>
      </w:r>
    </w:p>
    <w:p w:rsidR="00AF04BA" w:rsidRDefault="00AF04BA" w:rsidP="00AF04BA">
      <w:pPr>
        <w:pStyle w:val="NoSpacing"/>
        <w:numPr>
          <w:ilvl w:val="0"/>
          <w:numId w:val="1"/>
        </w:numPr>
      </w:pPr>
      <w:r>
        <w:t>In the “normalization” tab add “</w:t>
      </w:r>
      <w:proofErr w:type="spellStart"/>
      <w:r w:rsidRPr="00AF04BA">
        <w:t>MarcDroolNormalization</w:t>
      </w:r>
      <w:proofErr w:type="spellEnd"/>
      <w:r w:rsidRPr="00AF04BA">
        <w:t>”</w:t>
      </w:r>
    </w:p>
    <w:p w:rsidR="00AF04BA" w:rsidRDefault="00AF04BA" w:rsidP="003F2E07">
      <w:pPr>
        <w:pStyle w:val="NoSpacing"/>
        <w:numPr>
          <w:ilvl w:val="0"/>
          <w:numId w:val="1"/>
        </w:numPr>
      </w:pPr>
      <w:r>
        <w:t>In the “task parameters” tab add the rule the rule we made in the metadata editor called “</w:t>
      </w:r>
      <w:r w:rsidR="0065787A" w:rsidRPr="0065787A">
        <w:t>YK - add field 866 subfield a Vol. 1-10</w:t>
      </w:r>
      <w:r>
        <w:t xml:space="preserve">” </w:t>
      </w:r>
    </w:p>
    <w:p w:rsidR="004D703A" w:rsidRDefault="00AF04BA" w:rsidP="00AF04BA">
      <w:pPr>
        <w:pStyle w:val="NoSpacing"/>
      </w:pPr>
      <w:r>
        <w:t xml:space="preserve"> </w:t>
      </w:r>
    </w:p>
    <w:p w:rsidR="004D703A" w:rsidRDefault="004D703A" w:rsidP="004D703A">
      <w:pPr>
        <w:pStyle w:val="NoSpacing"/>
      </w:pPr>
    </w:p>
    <w:p w:rsidR="00AF04BA" w:rsidRDefault="0065787A" w:rsidP="004D703A">
      <w:pPr>
        <w:pStyle w:val="NoSpacing"/>
      </w:pPr>
      <w:r>
        <w:t>YK - add field 866 subfield a Vol. 1-10</w:t>
      </w:r>
    </w:p>
    <w:p w:rsidR="00AF04BA" w:rsidRDefault="00AF04BA" w:rsidP="004D703A">
      <w:pPr>
        <w:pStyle w:val="NoSpacing"/>
      </w:pPr>
    </w:p>
    <w:p w:rsidR="004D703A" w:rsidRDefault="0065787A" w:rsidP="004D703A">
      <w:pPr>
        <w:pStyle w:val="NoSpacing"/>
      </w:pPr>
      <w:r>
        <w:rPr>
          <w:noProof/>
        </w:rPr>
        <w:drawing>
          <wp:inline distT="0" distB="0" distL="0" distR="0">
            <wp:extent cx="5476875" cy="1885950"/>
            <wp:effectExtent l="19050" t="19050" r="28575" b="190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1885950"/>
                    </a:xfrm>
                    <a:prstGeom prst="rect">
                      <a:avLst/>
                    </a:prstGeom>
                    <a:noFill/>
                    <a:ln>
                      <a:solidFill>
                        <a:schemeClr val="accent1"/>
                      </a:solidFill>
                    </a:ln>
                  </pic:spPr>
                </pic:pic>
              </a:graphicData>
            </a:graphic>
          </wp:inline>
        </w:drawing>
      </w:r>
    </w:p>
    <w:p w:rsidR="004D703A" w:rsidRDefault="004D703A" w:rsidP="004D703A">
      <w:pPr>
        <w:pStyle w:val="NoSpacing"/>
      </w:pPr>
    </w:p>
    <w:p w:rsidR="004D703A" w:rsidRDefault="004D703A" w:rsidP="004D703A">
      <w:pPr>
        <w:pStyle w:val="NoSpacing"/>
      </w:pPr>
    </w:p>
    <w:p w:rsidR="004D703A" w:rsidRDefault="0065787A" w:rsidP="004D703A">
      <w:pPr>
        <w:pStyle w:val="NoSpacing"/>
      </w:pPr>
      <w:r>
        <w:rPr>
          <w:noProof/>
        </w:rPr>
        <w:drawing>
          <wp:inline distT="0" distB="0" distL="0" distR="0">
            <wp:extent cx="5476875" cy="1543050"/>
            <wp:effectExtent l="19050" t="19050" r="28575"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6875" cy="1543050"/>
                    </a:xfrm>
                    <a:prstGeom prst="rect">
                      <a:avLst/>
                    </a:prstGeom>
                    <a:noFill/>
                    <a:ln>
                      <a:solidFill>
                        <a:schemeClr val="accent1"/>
                      </a:solidFill>
                    </a:ln>
                  </pic:spPr>
                </pic:pic>
              </a:graphicData>
            </a:graphic>
          </wp:inline>
        </w:drawing>
      </w:r>
    </w:p>
    <w:p w:rsidR="00AF04BA" w:rsidRDefault="00AF04BA" w:rsidP="004D703A">
      <w:pPr>
        <w:pStyle w:val="NoSpacing"/>
      </w:pPr>
    </w:p>
    <w:p w:rsidR="00AF04BA" w:rsidRDefault="00AF04BA" w:rsidP="004D703A">
      <w:pPr>
        <w:pStyle w:val="NoSpacing"/>
      </w:pPr>
    </w:p>
    <w:p w:rsidR="004D703A" w:rsidRDefault="0065787A" w:rsidP="004D703A">
      <w:pPr>
        <w:pStyle w:val="NoSpacing"/>
      </w:pPr>
      <w:r>
        <w:rPr>
          <w:noProof/>
        </w:rPr>
        <w:lastRenderedPageBreak/>
        <w:drawing>
          <wp:inline distT="0" distB="0" distL="0" distR="0">
            <wp:extent cx="5486400" cy="1400175"/>
            <wp:effectExtent l="19050" t="19050" r="19050" b="285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400175"/>
                    </a:xfrm>
                    <a:prstGeom prst="rect">
                      <a:avLst/>
                    </a:prstGeom>
                    <a:noFill/>
                    <a:ln>
                      <a:solidFill>
                        <a:schemeClr val="accent1"/>
                      </a:solidFill>
                    </a:ln>
                  </pic:spPr>
                </pic:pic>
              </a:graphicData>
            </a:graphic>
          </wp:inline>
        </w:drawing>
      </w:r>
    </w:p>
    <w:p w:rsidR="00AF04BA" w:rsidRDefault="00AF04BA" w:rsidP="004D703A">
      <w:pPr>
        <w:pStyle w:val="NoSpacing"/>
      </w:pPr>
    </w:p>
    <w:p w:rsidR="00AF04BA" w:rsidRPr="00AF04BA" w:rsidRDefault="00AF04BA" w:rsidP="004D703A">
      <w:pPr>
        <w:pStyle w:val="NoSpacing"/>
        <w:rPr>
          <w:b/>
          <w:bCs/>
        </w:rPr>
      </w:pPr>
      <w:r w:rsidRPr="00AF04BA">
        <w:rPr>
          <w:b/>
          <w:bCs/>
        </w:rPr>
        <w:t>FOUR</w:t>
      </w:r>
    </w:p>
    <w:p w:rsidR="00AF04BA" w:rsidRDefault="003D10CB" w:rsidP="00AF04BA">
      <w:pPr>
        <w:pStyle w:val="NoSpacing"/>
      </w:pPr>
      <w:r>
        <w:t>Create a set to run the process on</w:t>
      </w:r>
      <w:r w:rsidR="00AF04BA">
        <w:t>.  The set can be “all titles” or “physical titles”.</w:t>
      </w:r>
    </w:p>
    <w:p w:rsidR="003D10CB" w:rsidRDefault="003D10CB" w:rsidP="00AF04BA">
      <w:pPr>
        <w:pStyle w:val="NoSpacing"/>
      </w:pPr>
      <w:r>
        <w:t>We will run the process on the “physical titles” set called “</w:t>
      </w:r>
      <w:r w:rsidR="0065787A">
        <w:t>M</w:t>
      </w:r>
      <w:r>
        <w:t>ontana”.</w:t>
      </w:r>
    </w:p>
    <w:p w:rsidR="003D10CB" w:rsidRDefault="003D10CB" w:rsidP="00AF04BA">
      <w:pPr>
        <w:pStyle w:val="NoSpacing"/>
      </w:pPr>
    </w:p>
    <w:p w:rsidR="003D10CB" w:rsidRDefault="0065787A" w:rsidP="00AF04BA">
      <w:pPr>
        <w:pStyle w:val="NoSpacing"/>
      </w:pPr>
      <w:r>
        <w:rPr>
          <w:noProof/>
        </w:rPr>
        <w:drawing>
          <wp:inline distT="0" distB="0" distL="0" distR="0">
            <wp:extent cx="5486400" cy="1628775"/>
            <wp:effectExtent l="19050" t="19050" r="19050" b="285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628775"/>
                    </a:xfrm>
                    <a:prstGeom prst="rect">
                      <a:avLst/>
                    </a:prstGeom>
                    <a:noFill/>
                    <a:ln>
                      <a:solidFill>
                        <a:schemeClr val="accent1"/>
                      </a:solidFill>
                    </a:ln>
                  </pic:spPr>
                </pic:pic>
              </a:graphicData>
            </a:graphic>
          </wp:inline>
        </w:drawing>
      </w:r>
    </w:p>
    <w:p w:rsidR="00AF04BA" w:rsidRDefault="00AF04BA" w:rsidP="00AF04BA">
      <w:pPr>
        <w:pStyle w:val="NoSpacing"/>
      </w:pPr>
    </w:p>
    <w:p w:rsidR="004D703A" w:rsidRPr="003D10CB" w:rsidRDefault="004D703A" w:rsidP="004D703A">
      <w:pPr>
        <w:pStyle w:val="NoSpacing"/>
        <w:rPr>
          <w:b/>
          <w:bCs/>
        </w:rPr>
      </w:pPr>
      <w:r>
        <w:br/>
      </w:r>
      <w:r w:rsidR="003D10CB" w:rsidRPr="003D10CB">
        <w:rPr>
          <w:b/>
          <w:bCs/>
        </w:rPr>
        <w:t>FIVE</w:t>
      </w:r>
    </w:p>
    <w:p w:rsidR="003D10CB" w:rsidRDefault="003D10CB" w:rsidP="00EF3783">
      <w:pPr>
        <w:pStyle w:val="NoSpacing"/>
      </w:pPr>
      <w:r>
        <w:t>Run the process called “</w:t>
      </w:r>
      <w:r w:rsidRPr="003D10CB">
        <w:t>Change holding information</w:t>
      </w:r>
      <w:r>
        <w:t>”</w:t>
      </w:r>
      <w:r w:rsidR="003F2E07">
        <w:t xml:space="preserve"> from “</w:t>
      </w:r>
      <w:r w:rsidR="00EF3783">
        <w:t>Administration &gt; Manage Jobs &gt; Run a job”</w:t>
      </w:r>
    </w:p>
    <w:p w:rsidR="003D10CB" w:rsidRDefault="003D10CB" w:rsidP="004D703A">
      <w:pPr>
        <w:pStyle w:val="NoSpacing"/>
      </w:pPr>
    </w:p>
    <w:p w:rsidR="003D10CB" w:rsidRDefault="008E10EC" w:rsidP="004D703A">
      <w:pPr>
        <w:pStyle w:val="NoSpacing"/>
      </w:pPr>
      <w:r>
        <w:rPr>
          <w:noProof/>
        </w:rPr>
        <w:drawing>
          <wp:inline distT="0" distB="0" distL="0" distR="0">
            <wp:extent cx="5486400" cy="3017520"/>
            <wp:effectExtent l="19050" t="19050" r="19050" b="1143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3017520"/>
                    </a:xfrm>
                    <a:prstGeom prst="rect">
                      <a:avLst/>
                    </a:prstGeom>
                    <a:noFill/>
                    <a:ln>
                      <a:solidFill>
                        <a:schemeClr val="accent1"/>
                      </a:solidFill>
                    </a:ln>
                  </pic:spPr>
                </pic:pic>
              </a:graphicData>
            </a:graphic>
          </wp:inline>
        </w:drawing>
      </w:r>
    </w:p>
    <w:p w:rsidR="003D10CB" w:rsidRDefault="003D10CB" w:rsidP="004D703A">
      <w:pPr>
        <w:pStyle w:val="NoSpacing"/>
      </w:pPr>
    </w:p>
    <w:p w:rsidR="003D10CB" w:rsidRDefault="003D10CB" w:rsidP="004D703A">
      <w:pPr>
        <w:pStyle w:val="NoSpacing"/>
      </w:pPr>
      <w:r>
        <w:lastRenderedPageBreak/>
        <w:t>When running the process choose the desired set</w:t>
      </w:r>
    </w:p>
    <w:p w:rsidR="004D703A" w:rsidRDefault="004D703A" w:rsidP="004D703A">
      <w:pPr>
        <w:pStyle w:val="NoSpacing"/>
      </w:pPr>
    </w:p>
    <w:p w:rsidR="003D10CB" w:rsidRDefault="008E10EC" w:rsidP="004D703A">
      <w:pPr>
        <w:pStyle w:val="NoSpacing"/>
      </w:pPr>
      <w:r>
        <w:rPr>
          <w:noProof/>
        </w:rPr>
        <w:drawing>
          <wp:inline distT="0" distB="0" distL="0" distR="0">
            <wp:extent cx="5394960" cy="2651760"/>
            <wp:effectExtent l="19050" t="19050" r="15240" b="152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4960" cy="2651760"/>
                    </a:xfrm>
                    <a:prstGeom prst="rect">
                      <a:avLst/>
                    </a:prstGeom>
                    <a:noFill/>
                    <a:ln>
                      <a:solidFill>
                        <a:schemeClr val="accent1"/>
                      </a:solidFill>
                    </a:ln>
                  </pic:spPr>
                </pic:pic>
              </a:graphicData>
            </a:graphic>
          </wp:inline>
        </w:drawing>
      </w:r>
    </w:p>
    <w:p w:rsidR="003D10CB" w:rsidRDefault="003D10CB" w:rsidP="004D703A">
      <w:pPr>
        <w:pStyle w:val="NoSpacing"/>
      </w:pPr>
    </w:p>
    <w:p w:rsidR="003D10CB" w:rsidRPr="003D10CB" w:rsidRDefault="003D10CB" w:rsidP="004D703A">
      <w:pPr>
        <w:pStyle w:val="NoSpacing"/>
        <w:rPr>
          <w:b/>
          <w:bCs/>
        </w:rPr>
      </w:pPr>
      <w:r w:rsidRPr="003D10CB">
        <w:rPr>
          <w:b/>
          <w:bCs/>
        </w:rPr>
        <w:t>SIX</w:t>
      </w:r>
    </w:p>
    <w:p w:rsidR="003D10CB" w:rsidRDefault="003D10CB" w:rsidP="004D703A">
      <w:pPr>
        <w:pStyle w:val="NoSpacing"/>
      </w:pPr>
      <w:r>
        <w:t>Fill in parameters as desired and in the field “Correct the data using normalization rules” fill in the process we made above which includes the desired normalization rule. Below we chose the one we made above called “</w:t>
      </w:r>
      <w:r w:rsidR="008E10EC" w:rsidRPr="008E10EC">
        <w:t>YK - add field 866 subfield a Vol. 1-10</w:t>
      </w:r>
      <w:r>
        <w:t>”</w:t>
      </w:r>
    </w:p>
    <w:p w:rsidR="008E10EC" w:rsidRDefault="008E10EC" w:rsidP="004D703A">
      <w:pPr>
        <w:pStyle w:val="NoSpacing"/>
      </w:pPr>
    </w:p>
    <w:p w:rsidR="003D10CB" w:rsidRDefault="008E10EC" w:rsidP="004D703A">
      <w:pPr>
        <w:pStyle w:val="NoSpacing"/>
      </w:pPr>
      <w:r>
        <w:rPr>
          <w:noProof/>
        </w:rPr>
        <w:drawing>
          <wp:inline distT="0" distB="0" distL="0" distR="0">
            <wp:extent cx="5476875" cy="438150"/>
            <wp:effectExtent l="19050" t="19050" r="28575" b="190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6875" cy="438150"/>
                    </a:xfrm>
                    <a:prstGeom prst="rect">
                      <a:avLst/>
                    </a:prstGeom>
                    <a:noFill/>
                    <a:ln>
                      <a:solidFill>
                        <a:schemeClr val="accent1"/>
                      </a:solidFill>
                    </a:ln>
                  </pic:spPr>
                </pic:pic>
              </a:graphicData>
            </a:graphic>
          </wp:inline>
        </w:drawing>
      </w:r>
    </w:p>
    <w:p w:rsidR="003D10CB" w:rsidRDefault="003D10CB" w:rsidP="004D703A">
      <w:pPr>
        <w:pStyle w:val="NoSpacing"/>
      </w:pPr>
    </w:p>
    <w:p w:rsidR="003D10CB" w:rsidRDefault="003D10CB" w:rsidP="004D703A">
      <w:pPr>
        <w:pStyle w:val="NoSpacing"/>
      </w:pPr>
    </w:p>
    <w:p w:rsidR="003D10CB" w:rsidRDefault="003D10CB" w:rsidP="004D703A">
      <w:pPr>
        <w:pStyle w:val="NoSpacing"/>
        <w:rPr>
          <w:b/>
          <w:bCs/>
        </w:rPr>
      </w:pPr>
      <w:r w:rsidRPr="003D10CB">
        <w:rPr>
          <w:b/>
          <w:bCs/>
        </w:rPr>
        <w:t>SEVEN</w:t>
      </w:r>
    </w:p>
    <w:p w:rsidR="003D10CB" w:rsidRDefault="003F2E07" w:rsidP="003F2E07">
      <w:pPr>
        <w:pStyle w:val="NoSpacing"/>
      </w:pPr>
      <w:r>
        <w:t>Now in results of the set we can see the field was added.  In other words, the process worked on the holding records.  The bibliographic record was not touched.</w:t>
      </w:r>
    </w:p>
    <w:p w:rsidR="003F2E07" w:rsidRDefault="003F2E07" w:rsidP="003F2E07">
      <w:pPr>
        <w:pStyle w:val="NoSpacing"/>
      </w:pPr>
    </w:p>
    <w:p w:rsidR="003F2E07" w:rsidRDefault="00541F95" w:rsidP="003F2E07">
      <w:pPr>
        <w:pStyle w:val="NoSpacing"/>
      </w:pPr>
      <w:r>
        <w:rPr>
          <w:noProof/>
        </w:rPr>
        <w:drawing>
          <wp:inline distT="0" distB="0" distL="0" distR="0">
            <wp:extent cx="5486400" cy="2181225"/>
            <wp:effectExtent l="19050" t="19050" r="19050" b="285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2181225"/>
                    </a:xfrm>
                    <a:prstGeom prst="rect">
                      <a:avLst/>
                    </a:prstGeom>
                    <a:noFill/>
                    <a:ln>
                      <a:solidFill>
                        <a:schemeClr val="accent1"/>
                      </a:solidFill>
                    </a:ln>
                  </pic:spPr>
                </pic:pic>
              </a:graphicData>
            </a:graphic>
          </wp:inline>
        </w:drawing>
      </w:r>
    </w:p>
    <w:p w:rsidR="003F2E07" w:rsidRDefault="003F2E07" w:rsidP="003F2E07">
      <w:pPr>
        <w:pStyle w:val="NoSpacing"/>
      </w:pPr>
    </w:p>
    <w:p w:rsidR="003F2E07" w:rsidRDefault="003F2E07" w:rsidP="003F2E07">
      <w:pPr>
        <w:pStyle w:val="NoSpacing"/>
      </w:pPr>
      <w:r>
        <w:t>And in the actual holding records we can see it was added</w:t>
      </w:r>
    </w:p>
    <w:p w:rsidR="003F2E07" w:rsidRDefault="003F2E07" w:rsidP="003F2E07">
      <w:pPr>
        <w:pStyle w:val="NoSpacing"/>
      </w:pPr>
    </w:p>
    <w:p w:rsidR="003F2E07" w:rsidRPr="003D10CB" w:rsidRDefault="00541F95" w:rsidP="003F2E07">
      <w:pPr>
        <w:pStyle w:val="NoSpacing"/>
      </w:pPr>
      <w:bookmarkStart w:id="0" w:name="_GoBack"/>
      <w:r>
        <w:rPr>
          <w:noProof/>
        </w:rPr>
        <w:drawing>
          <wp:inline distT="0" distB="0" distL="0" distR="0">
            <wp:extent cx="5476875" cy="3943350"/>
            <wp:effectExtent l="19050" t="19050" r="28575" b="190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76875" cy="3943350"/>
                    </a:xfrm>
                    <a:prstGeom prst="rect">
                      <a:avLst/>
                    </a:prstGeom>
                    <a:noFill/>
                    <a:ln>
                      <a:solidFill>
                        <a:schemeClr val="accent1"/>
                      </a:solidFill>
                    </a:ln>
                  </pic:spPr>
                </pic:pic>
              </a:graphicData>
            </a:graphic>
          </wp:inline>
        </w:drawing>
      </w:r>
      <w:bookmarkEnd w:id="0"/>
    </w:p>
    <w:sectPr w:rsidR="003F2E07" w:rsidRPr="003D10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895F74"/>
    <w:multiLevelType w:val="hybridMultilevel"/>
    <w:tmpl w:val="7B28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03A"/>
    <w:rsid w:val="00002FD7"/>
    <w:rsid w:val="000174C7"/>
    <w:rsid w:val="00021A40"/>
    <w:rsid w:val="00025577"/>
    <w:rsid w:val="0002773B"/>
    <w:rsid w:val="00034AF4"/>
    <w:rsid w:val="00035E40"/>
    <w:rsid w:val="00040950"/>
    <w:rsid w:val="0004680F"/>
    <w:rsid w:val="00051D73"/>
    <w:rsid w:val="00052E7E"/>
    <w:rsid w:val="0006225D"/>
    <w:rsid w:val="000671C2"/>
    <w:rsid w:val="00075173"/>
    <w:rsid w:val="00076CE8"/>
    <w:rsid w:val="00081B7D"/>
    <w:rsid w:val="00083E8C"/>
    <w:rsid w:val="00087B13"/>
    <w:rsid w:val="00090FBD"/>
    <w:rsid w:val="000918A6"/>
    <w:rsid w:val="000B166E"/>
    <w:rsid w:val="000C0B74"/>
    <w:rsid w:val="000C3EDE"/>
    <w:rsid w:val="000D0140"/>
    <w:rsid w:val="000D21E9"/>
    <w:rsid w:val="000D2C31"/>
    <w:rsid w:val="000D5A80"/>
    <w:rsid w:val="000D6C68"/>
    <w:rsid w:val="000E1650"/>
    <w:rsid w:val="000E3875"/>
    <w:rsid w:val="000E3BDE"/>
    <w:rsid w:val="000E5AD9"/>
    <w:rsid w:val="000F516B"/>
    <w:rsid w:val="00100B77"/>
    <w:rsid w:val="00107657"/>
    <w:rsid w:val="00117DA5"/>
    <w:rsid w:val="0012212A"/>
    <w:rsid w:val="00122798"/>
    <w:rsid w:val="00131BBD"/>
    <w:rsid w:val="001327FF"/>
    <w:rsid w:val="001345C5"/>
    <w:rsid w:val="00134A5E"/>
    <w:rsid w:val="001367DA"/>
    <w:rsid w:val="00142965"/>
    <w:rsid w:val="00143034"/>
    <w:rsid w:val="0014516C"/>
    <w:rsid w:val="00145655"/>
    <w:rsid w:val="001509D9"/>
    <w:rsid w:val="00151705"/>
    <w:rsid w:val="001560AC"/>
    <w:rsid w:val="00157C88"/>
    <w:rsid w:val="001606F9"/>
    <w:rsid w:val="001609C7"/>
    <w:rsid w:val="00170137"/>
    <w:rsid w:val="0017078B"/>
    <w:rsid w:val="0017697F"/>
    <w:rsid w:val="00177465"/>
    <w:rsid w:val="00183A44"/>
    <w:rsid w:val="0018648A"/>
    <w:rsid w:val="00191A8A"/>
    <w:rsid w:val="001B4932"/>
    <w:rsid w:val="001C733B"/>
    <w:rsid w:val="001D168C"/>
    <w:rsid w:val="001D4F67"/>
    <w:rsid w:val="001D5953"/>
    <w:rsid w:val="001F11ED"/>
    <w:rsid w:val="002018D7"/>
    <w:rsid w:val="00205910"/>
    <w:rsid w:val="00210B5B"/>
    <w:rsid w:val="0021327D"/>
    <w:rsid w:val="002150DC"/>
    <w:rsid w:val="00216963"/>
    <w:rsid w:val="00224C87"/>
    <w:rsid w:val="002300F3"/>
    <w:rsid w:val="00236E96"/>
    <w:rsid w:val="002404DC"/>
    <w:rsid w:val="00242409"/>
    <w:rsid w:val="00251E49"/>
    <w:rsid w:val="0025687B"/>
    <w:rsid w:val="00262104"/>
    <w:rsid w:val="002665DD"/>
    <w:rsid w:val="00273724"/>
    <w:rsid w:val="00276464"/>
    <w:rsid w:val="00277A00"/>
    <w:rsid w:val="00281600"/>
    <w:rsid w:val="0029161E"/>
    <w:rsid w:val="00294755"/>
    <w:rsid w:val="00294DC7"/>
    <w:rsid w:val="002A2E3C"/>
    <w:rsid w:val="002B2353"/>
    <w:rsid w:val="002B30C4"/>
    <w:rsid w:val="002B5B29"/>
    <w:rsid w:val="002C2034"/>
    <w:rsid w:val="002C3DBA"/>
    <w:rsid w:val="002D3999"/>
    <w:rsid w:val="002D40A4"/>
    <w:rsid w:val="002D71F3"/>
    <w:rsid w:val="002E7996"/>
    <w:rsid w:val="002F561C"/>
    <w:rsid w:val="002F72D9"/>
    <w:rsid w:val="00303652"/>
    <w:rsid w:val="00305ED0"/>
    <w:rsid w:val="0030677D"/>
    <w:rsid w:val="003115EF"/>
    <w:rsid w:val="00311BB0"/>
    <w:rsid w:val="00313362"/>
    <w:rsid w:val="00321414"/>
    <w:rsid w:val="00331A36"/>
    <w:rsid w:val="00342C19"/>
    <w:rsid w:val="00345D66"/>
    <w:rsid w:val="0035273D"/>
    <w:rsid w:val="00354144"/>
    <w:rsid w:val="00354C9C"/>
    <w:rsid w:val="00354CA8"/>
    <w:rsid w:val="0035699C"/>
    <w:rsid w:val="00375D88"/>
    <w:rsid w:val="0037779C"/>
    <w:rsid w:val="003809AB"/>
    <w:rsid w:val="003857F1"/>
    <w:rsid w:val="003931AE"/>
    <w:rsid w:val="0039715F"/>
    <w:rsid w:val="003974BC"/>
    <w:rsid w:val="003A7455"/>
    <w:rsid w:val="003B48D5"/>
    <w:rsid w:val="003B637B"/>
    <w:rsid w:val="003C0595"/>
    <w:rsid w:val="003C3081"/>
    <w:rsid w:val="003C55A0"/>
    <w:rsid w:val="003C6B4B"/>
    <w:rsid w:val="003C745F"/>
    <w:rsid w:val="003D10CB"/>
    <w:rsid w:val="003D41B8"/>
    <w:rsid w:val="003E3B8E"/>
    <w:rsid w:val="003F01CB"/>
    <w:rsid w:val="003F0A11"/>
    <w:rsid w:val="003F2E07"/>
    <w:rsid w:val="003F38BB"/>
    <w:rsid w:val="003F7B6B"/>
    <w:rsid w:val="00401D79"/>
    <w:rsid w:val="00402A75"/>
    <w:rsid w:val="00414281"/>
    <w:rsid w:val="00417172"/>
    <w:rsid w:val="00437288"/>
    <w:rsid w:val="004414FF"/>
    <w:rsid w:val="004435C4"/>
    <w:rsid w:val="0044490A"/>
    <w:rsid w:val="00445865"/>
    <w:rsid w:val="00446A89"/>
    <w:rsid w:val="00447167"/>
    <w:rsid w:val="00447E16"/>
    <w:rsid w:val="00451FA3"/>
    <w:rsid w:val="00452414"/>
    <w:rsid w:val="00460D0E"/>
    <w:rsid w:val="004632F8"/>
    <w:rsid w:val="00467FAB"/>
    <w:rsid w:val="00472892"/>
    <w:rsid w:val="00475399"/>
    <w:rsid w:val="00483E93"/>
    <w:rsid w:val="00492AAE"/>
    <w:rsid w:val="004A271D"/>
    <w:rsid w:val="004A7511"/>
    <w:rsid w:val="004B4935"/>
    <w:rsid w:val="004C15BF"/>
    <w:rsid w:val="004C3314"/>
    <w:rsid w:val="004C5E76"/>
    <w:rsid w:val="004D0431"/>
    <w:rsid w:val="004D3F1F"/>
    <w:rsid w:val="004D494B"/>
    <w:rsid w:val="004D6630"/>
    <w:rsid w:val="004D703A"/>
    <w:rsid w:val="004F2780"/>
    <w:rsid w:val="004F2A6C"/>
    <w:rsid w:val="004F62F7"/>
    <w:rsid w:val="00506C20"/>
    <w:rsid w:val="0052124A"/>
    <w:rsid w:val="00522B17"/>
    <w:rsid w:val="0052626C"/>
    <w:rsid w:val="00526751"/>
    <w:rsid w:val="00527317"/>
    <w:rsid w:val="005340B8"/>
    <w:rsid w:val="00536B5E"/>
    <w:rsid w:val="00541F95"/>
    <w:rsid w:val="00550070"/>
    <w:rsid w:val="005504EC"/>
    <w:rsid w:val="0055389F"/>
    <w:rsid w:val="005627DE"/>
    <w:rsid w:val="0056329F"/>
    <w:rsid w:val="00567568"/>
    <w:rsid w:val="00567E45"/>
    <w:rsid w:val="005713B4"/>
    <w:rsid w:val="0057382F"/>
    <w:rsid w:val="00576E8C"/>
    <w:rsid w:val="00580190"/>
    <w:rsid w:val="005822D0"/>
    <w:rsid w:val="00591FFD"/>
    <w:rsid w:val="005966B7"/>
    <w:rsid w:val="005A11EE"/>
    <w:rsid w:val="005A5D52"/>
    <w:rsid w:val="005A5F99"/>
    <w:rsid w:val="005B0CBF"/>
    <w:rsid w:val="005B40F8"/>
    <w:rsid w:val="005D69D0"/>
    <w:rsid w:val="005F1471"/>
    <w:rsid w:val="005F1BB4"/>
    <w:rsid w:val="005F1EBC"/>
    <w:rsid w:val="005F2971"/>
    <w:rsid w:val="005F56B9"/>
    <w:rsid w:val="005F651E"/>
    <w:rsid w:val="00606F81"/>
    <w:rsid w:val="00611047"/>
    <w:rsid w:val="00617D79"/>
    <w:rsid w:val="00620129"/>
    <w:rsid w:val="00627029"/>
    <w:rsid w:val="0063109C"/>
    <w:rsid w:val="00633554"/>
    <w:rsid w:val="00636996"/>
    <w:rsid w:val="006417ED"/>
    <w:rsid w:val="006421A8"/>
    <w:rsid w:val="0064569A"/>
    <w:rsid w:val="00645C63"/>
    <w:rsid w:val="00646A7C"/>
    <w:rsid w:val="00653590"/>
    <w:rsid w:val="0065388A"/>
    <w:rsid w:val="00653E7D"/>
    <w:rsid w:val="00654827"/>
    <w:rsid w:val="0065484E"/>
    <w:rsid w:val="0065787A"/>
    <w:rsid w:val="00660CCB"/>
    <w:rsid w:val="00662B7B"/>
    <w:rsid w:val="006723C4"/>
    <w:rsid w:val="00673B77"/>
    <w:rsid w:val="00675331"/>
    <w:rsid w:val="006777ED"/>
    <w:rsid w:val="00681F68"/>
    <w:rsid w:val="006854E2"/>
    <w:rsid w:val="006A1434"/>
    <w:rsid w:val="006A1A2F"/>
    <w:rsid w:val="006A6F4C"/>
    <w:rsid w:val="006B2DA2"/>
    <w:rsid w:val="006B3923"/>
    <w:rsid w:val="006B4235"/>
    <w:rsid w:val="006C2E93"/>
    <w:rsid w:val="006C37EC"/>
    <w:rsid w:val="006C4287"/>
    <w:rsid w:val="006D3F69"/>
    <w:rsid w:val="006F100A"/>
    <w:rsid w:val="006F69DA"/>
    <w:rsid w:val="00704AD7"/>
    <w:rsid w:val="00714574"/>
    <w:rsid w:val="00714752"/>
    <w:rsid w:val="00720148"/>
    <w:rsid w:val="007243C2"/>
    <w:rsid w:val="0073726F"/>
    <w:rsid w:val="007404F0"/>
    <w:rsid w:val="00754202"/>
    <w:rsid w:val="00754F7A"/>
    <w:rsid w:val="00756830"/>
    <w:rsid w:val="00761203"/>
    <w:rsid w:val="00761DE0"/>
    <w:rsid w:val="00781FF8"/>
    <w:rsid w:val="00790615"/>
    <w:rsid w:val="00795D08"/>
    <w:rsid w:val="00796496"/>
    <w:rsid w:val="007A7D42"/>
    <w:rsid w:val="007B5AAC"/>
    <w:rsid w:val="007B6450"/>
    <w:rsid w:val="007C0876"/>
    <w:rsid w:val="007C4ACE"/>
    <w:rsid w:val="007C64BF"/>
    <w:rsid w:val="007D11F8"/>
    <w:rsid w:val="007D1C59"/>
    <w:rsid w:val="007D61AE"/>
    <w:rsid w:val="007D6DE8"/>
    <w:rsid w:val="007D7A84"/>
    <w:rsid w:val="007E4DA7"/>
    <w:rsid w:val="007E67A6"/>
    <w:rsid w:val="007F0668"/>
    <w:rsid w:val="007F55A1"/>
    <w:rsid w:val="00800F64"/>
    <w:rsid w:val="00801DD3"/>
    <w:rsid w:val="00806645"/>
    <w:rsid w:val="008114C7"/>
    <w:rsid w:val="00811CE0"/>
    <w:rsid w:val="008126F4"/>
    <w:rsid w:val="00823EAE"/>
    <w:rsid w:val="00826298"/>
    <w:rsid w:val="008365F0"/>
    <w:rsid w:val="00837D0D"/>
    <w:rsid w:val="0084153F"/>
    <w:rsid w:val="008562C2"/>
    <w:rsid w:val="0085762C"/>
    <w:rsid w:val="00857C4C"/>
    <w:rsid w:val="00860900"/>
    <w:rsid w:val="008722DC"/>
    <w:rsid w:val="008751F9"/>
    <w:rsid w:val="008765E1"/>
    <w:rsid w:val="00881D82"/>
    <w:rsid w:val="0088222B"/>
    <w:rsid w:val="00890EF5"/>
    <w:rsid w:val="008A0304"/>
    <w:rsid w:val="008A1974"/>
    <w:rsid w:val="008B0598"/>
    <w:rsid w:val="008B5142"/>
    <w:rsid w:val="008B70CA"/>
    <w:rsid w:val="008C0F20"/>
    <w:rsid w:val="008C477C"/>
    <w:rsid w:val="008C7BD8"/>
    <w:rsid w:val="008D0E09"/>
    <w:rsid w:val="008E10EC"/>
    <w:rsid w:val="008E5F5B"/>
    <w:rsid w:val="008E7C72"/>
    <w:rsid w:val="008F4ECE"/>
    <w:rsid w:val="008F568C"/>
    <w:rsid w:val="00900CE8"/>
    <w:rsid w:val="00907425"/>
    <w:rsid w:val="00911023"/>
    <w:rsid w:val="00914BC3"/>
    <w:rsid w:val="00917967"/>
    <w:rsid w:val="00940D1B"/>
    <w:rsid w:val="009410E2"/>
    <w:rsid w:val="00941CC8"/>
    <w:rsid w:val="009421AB"/>
    <w:rsid w:val="00945EF3"/>
    <w:rsid w:val="00947C51"/>
    <w:rsid w:val="0095029A"/>
    <w:rsid w:val="00954DDE"/>
    <w:rsid w:val="00955942"/>
    <w:rsid w:val="009653E6"/>
    <w:rsid w:val="00965665"/>
    <w:rsid w:val="00965FA3"/>
    <w:rsid w:val="00973BE3"/>
    <w:rsid w:val="00974CFF"/>
    <w:rsid w:val="00986B62"/>
    <w:rsid w:val="009B09BE"/>
    <w:rsid w:val="009B2468"/>
    <w:rsid w:val="009B494A"/>
    <w:rsid w:val="009C1A4B"/>
    <w:rsid w:val="009C56BD"/>
    <w:rsid w:val="009C5FFC"/>
    <w:rsid w:val="009D0A15"/>
    <w:rsid w:val="009D1D79"/>
    <w:rsid w:val="009D503E"/>
    <w:rsid w:val="009E3BA1"/>
    <w:rsid w:val="009E71E9"/>
    <w:rsid w:val="009F505B"/>
    <w:rsid w:val="00A02870"/>
    <w:rsid w:val="00A05F54"/>
    <w:rsid w:val="00A06FC2"/>
    <w:rsid w:val="00A119BD"/>
    <w:rsid w:val="00A2348A"/>
    <w:rsid w:val="00A25427"/>
    <w:rsid w:val="00A27958"/>
    <w:rsid w:val="00A33D8F"/>
    <w:rsid w:val="00A34E36"/>
    <w:rsid w:val="00A439C1"/>
    <w:rsid w:val="00A533CE"/>
    <w:rsid w:val="00A601FC"/>
    <w:rsid w:val="00A62E99"/>
    <w:rsid w:val="00A665B4"/>
    <w:rsid w:val="00A66AD2"/>
    <w:rsid w:val="00A73D31"/>
    <w:rsid w:val="00A76A54"/>
    <w:rsid w:val="00A7730B"/>
    <w:rsid w:val="00A814B8"/>
    <w:rsid w:val="00A852CD"/>
    <w:rsid w:val="00A87932"/>
    <w:rsid w:val="00A87CD0"/>
    <w:rsid w:val="00A93C0A"/>
    <w:rsid w:val="00A94ADC"/>
    <w:rsid w:val="00A975D5"/>
    <w:rsid w:val="00AA3D22"/>
    <w:rsid w:val="00AA7B06"/>
    <w:rsid w:val="00AB05D9"/>
    <w:rsid w:val="00AB6F24"/>
    <w:rsid w:val="00AC2A41"/>
    <w:rsid w:val="00AC2AB4"/>
    <w:rsid w:val="00AC60C7"/>
    <w:rsid w:val="00AD29B1"/>
    <w:rsid w:val="00AE2FDC"/>
    <w:rsid w:val="00AE6225"/>
    <w:rsid w:val="00AE74CE"/>
    <w:rsid w:val="00AF04BA"/>
    <w:rsid w:val="00AF43CF"/>
    <w:rsid w:val="00AF4510"/>
    <w:rsid w:val="00B00EA9"/>
    <w:rsid w:val="00B05309"/>
    <w:rsid w:val="00B073C2"/>
    <w:rsid w:val="00B15871"/>
    <w:rsid w:val="00B22D08"/>
    <w:rsid w:val="00B2536E"/>
    <w:rsid w:val="00B255C9"/>
    <w:rsid w:val="00B41CB3"/>
    <w:rsid w:val="00B51EFC"/>
    <w:rsid w:val="00B676F5"/>
    <w:rsid w:val="00B67F15"/>
    <w:rsid w:val="00B71171"/>
    <w:rsid w:val="00B74320"/>
    <w:rsid w:val="00B745C4"/>
    <w:rsid w:val="00B75664"/>
    <w:rsid w:val="00B80433"/>
    <w:rsid w:val="00B91B2D"/>
    <w:rsid w:val="00B93DCB"/>
    <w:rsid w:val="00B94EF7"/>
    <w:rsid w:val="00B96B4D"/>
    <w:rsid w:val="00BA5F88"/>
    <w:rsid w:val="00BA6186"/>
    <w:rsid w:val="00BB311C"/>
    <w:rsid w:val="00BC2A74"/>
    <w:rsid w:val="00BC42CB"/>
    <w:rsid w:val="00BC5200"/>
    <w:rsid w:val="00BD3118"/>
    <w:rsid w:val="00BE4A6F"/>
    <w:rsid w:val="00BF4E9E"/>
    <w:rsid w:val="00C15292"/>
    <w:rsid w:val="00C206D6"/>
    <w:rsid w:val="00C21DB8"/>
    <w:rsid w:val="00C2286B"/>
    <w:rsid w:val="00C276DE"/>
    <w:rsid w:val="00C4361F"/>
    <w:rsid w:val="00C461A5"/>
    <w:rsid w:val="00C524CA"/>
    <w:rsid w:val="00C52960"/>
    <w:rsid w:val="00C56EE1"/>
    <w:rsid w:val="00C56F8C"/>
    <w:rsid w:val="00C72FFB"/>
    <w:rsid w:val="00C761AA"/>
    <w:rsid w:val="00C90854"/>
    <w:rsid w:val="00C91A3C"/>
    <w:rsid w:val="00C9427E"/>
    <w:rsid w:val="00CA0DF7"/>
    <w:rsid w:val="00CA472C"/>
    <w:rsid w:val="00CA69D0"/>
    <w:rsid w:val="00CB2F13"/>
    <w:rsid w:val="00CB4F04"/>
    <w:rsid w:val="00CB607B"/>
    <w:rsid w:val="00CB72DE"/>
    <w:rsid w:val="00CC1665"/>
    <w:rsid w:val="00CD510A"/>
    <w:rsid w:val="00CD7827"/>
    <w:rsid w:val="00CE10EF"/>
    <w:rsid w:val="00CE3344"/>
    <w:rsid w:val="00CF4E11"/>
    <w:rsid w:val="00D0787B"/>
    <w:rsid w:val="00D07F1B"/>
    <w:rsid w:val="00D15D2D"/>
    <w:rsid w:val="00D16389"/>
    <w:rsid w:val="00D17E5C"/>
    <w:rsid w:val="00D212A8"/>
    <w:rsid w:val="00D2211E"/>
    <w:rsid w:val="00D24B1B"/>
    <w:rsid w:val="00D33EA6"/>
    <w:rsid w:val="00D37AC4"/>
    <w:rsid w:val="00D456BD"/>
    <w:rsid w:val="00D469ED"/>
    <w:rsid w:val="00D47835"/>
    <w:rsid w:val="00D54336"/>
    <w:rsid w:val="00D546B3"/>
    <w:rsid w:val="00D570A8"/>
    <w:rsid w:val="00D61075"/>
    <w:rsid w:val="00D70D5F"/>
    <w:rsid w:val="00D72951"/>
    <w:rsid w:val="00D7694B"/>
    <w:rsid w:val="00D85079"/>
    <w:rsid w:val="00D861FF"/>
    <w:rsid w:val="00D90A78"/>
    <w:rsid w:val="00D96604"/>
    <w:rsid w:val="00DA315E"/>
    <w:rsid w:val="00DA3D28"/>
    <w:rsid w:val="00DB15A9"/>
    <w:rsid w:val="00DB28C8"/>
    <w:rsid w:val="00DB5FCC"/>
    <w:rsid w:val="00DB6299"/>
    <w:rsid w:val="00DB7B31"/>
    <w:rsid w:val="00DD113F"/>
    <w:rsid w:val="00DD40D1"/>
    <w:rsid w:val="00DF0462"/>
    <w:rsid w:val="00DF2328"/>
    <w:rsid w:val="00DF4757"/>
    <w:rsid w:val="00E00315"/>
    <w:rsid w:val="00E2509A"/>
    <w:rsid w:val="00E3486F"/>
    <w:rsid w:val="00E350BA"/>
    <w:rsid w:val="00E44287"/>
    <w:rsid w:val="00E44F07"/>
    <w:rsid w:val="00E53FB7"/>
    <w:rsid w:val="00E563DA"/>
    <w:rsid w:val="00E5714D"/>
    <w:rsid w:val="00E6138E"/>
    <w:rsid w:val="00E6312C"/>
    <w:rsid w:val="00E66533"/>
    <w:rsid w:val="00E70D1D"/>
    <w:rsid w:val="00E7361D"/>
    <w:rsid w:val="00E75740"/>
    <w:rsid w:val="00E7587D"/>
    <w:rsid w:val="00E76925"/>
    <w:rsid w:val="00E77CCB"/>
    <w:rsid w:val="00EA5454"/>
    <w:rsid w:val="00EB27DE"/>
    <w:rsid w:val="00EB6879"/>
    <w:rsid w:val="00ED4C16"/>
    <w:rsid w:val="00EF3783"/>
    <w:rsid w:val="00EF7500"/>
    <w:rsid w:val="00EF757E"/>
    <w:rsid w:val="00F05A97"/>
    <w:rsid w:val="00F143B3"/>
    <w:rsid w:val="00F14F05"/>
    <w:rsid w:val="00F20FFD"/>
    <w:rsid w:val="00F30D24"/>
    <w:rsid w:val="00F347CA"/>
    <w:rsid w:val="00F36AF3"/>
    <w:rsid w:val="00F542E5"/>
    <w:rsid w:val="00F5434B"/>
    <w:rsid w:val="00F72969"/>
    <w:rsid w:val="00F75809"/>
    <w:rsid w:val="00F85D5E"/>
    <w:rsid w:val="00FA0270"/>
    <w:rsid w:val="00FA2243"/>
    <w:rsid w:val="00FA4A84"/>
    <w:rsid w:val="00FC32D0"/>
    <w:rsid w:val="00FD02AC"/>
    <w:rsid w:val="00FD0887"/>
    <w:rsid w:val="00FD4353"/>
    <w:rsid w:val="00FE2D49"/>
    <w:rsid w:val="00FE5310"/>
    <w:rsid w:val="00FF4A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F50E4"/>
  <w15:docId w15:val="{BDBB76AE-3D0B-4EB7-BF5C-9475A62A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4ACE"/>
    <w:pPr>
      <w:spacing w:after="220" w:line="240" w:lineRule="auto"/>
    </w:pPr>
    <w:rPr>
      <w:rFonts w:ascii="Verdana" w:hAnsi="Verdana"/>
      <w:color w:val="000000" w:themeColor="text1"/>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703A"/>
    <w:pPr>
      <w:spacing w:after="0" w:line="240" w:lineRule="auto"/>
    </w:pPr>
  </w:style>
  <w:style w:type="paragraph" w:styleId="BalloonText">
    <w:name w:val="Balloon Text"/>
    <w:basedOn w:val="Normal"/>
    <w:link w:val="BalloonTextChar"/>
    <w:uiPriority w:val="99"/>
    <w:semiHidden/>
    <w:unhideWhenUsed/>
    <w:rsid w:val="004D703A"/>
    <w:pPr>
      <w:spacing w:after="0"/>
    </w:pPr>
    <w:rPr>
      <w:rFonts w:ascii="Tahoma" w:hAnsi="Tahoma" w:cs="Tahoma"/>
      <w:color w:val="auto"/>
      <w:sz w:val="16"/>
      <w:szCs w:val="16"/>
      <w:lang w:bidi="he-IL"/>
    </w:rPr>
  </w:style>
  <w:style w:type="character" w:customStyle="1" w:styleId="BalloonTextChar">
    <w:name w:val="Balloon Text Char"/>
    <w:basedOn w:val="DefaultParagraphFont"/>
    <w:link w:val="BalloonText"/>
    <w:uiPriority w:val="99"/>
    <w:semiHidden/>
    <w:rsid w:val="004D703A"/>
    <w:rPr>
      <w:rFonts w:ascii="Tahoma" w:hAnsi="Tahoma" w:cs="Tahoma"/>
      <w:sz w:val="16"/>
      <w:szCs w:val="16"/>
    </w:rPr>
  </w:style>
  <w:style w:type="paragraph" w:styleId="Header">
    <w:name w:val="header"/>
    <w:basedOn w:val="Normal"/>
    <w:link w:val="HeaderChar"/>
    <w:uiPriority w:val="99"/>
    <w:unhideWhenUsed/>
    <w:rsid w:val="007C4ACE"/>
    <w:pPr>
      <w:tabs>
        <w:tab w:val="center" w:pos="4680"/>
        <w:tab w:val="right" w:pos="9360"/>
      </w:tabs>
    </w:pPr>
  </w:style>
  <w:style w:type="character" w:customStyle="1" w:styleId="HeaderChar">
    <w:name w:val="Header Char"/>
    <w:basedOn w:val="DefaultParagraphFont"/>
    <w:link w:val="Header"/>
    <w:uiPriority w:val="99"/>
    <w:rsid w:val="007C4ACE"/>
    <w:rPr>
      <w:rFonts w:ascii="Verdana" w:hAnsi="Verdana"/>
      <w:color w:val="000000" w:themeColor="text1"/>
      <w:sz w:val="20"/>
      <w:szCs w:val="20"/>
      <w:lang w:bidi="ar-SA"/>
    </w:rPr>
  </w:style>
  <w:style w:type="table" w:styleId="TableGrid">
    <w:name w:val="Table Grid"/>
    <w:basedOn w:val="TableNormal"/>
    <w:uiPriority w:val="59"/>
    <w:rsid w:val="007C4ACE"/>
    <w:pPr>
      <w:spacing w:after="0" w:line="240" w:lineRule="auto"/>
    </w:pPr>
    <w:rPr>
      <w:rFonts w:ascii="Verdana" w:eastAsiaTheme="minorEastAsia" w:hAnsi="Verdana"/>
      <w:bCs/>
      <w:color w:val="000000" w:themeColor="text1"/>
      <w:szCs w:val="20"/>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14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EXlibris</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Yoel Kortick</dc:creator>
  <cp:lastModifiedBy>Yoel Kortick</cp:lastModifiedBy>
  <cp:revision>2</cp:revision>
  <dcterms:created xsi:type="dcterms:W3CDTF">2020-04-04T18:15:00Z</dcterms:created>
  <dcterms:modified xsi:type="dcterms:W3CDTF">2020-04-04T18:15:00Z</dcterms:modified>
</cp:coreProperties>
</file>